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60" w:type="dxa"/>
        <w:tblInd w:w="108" w:type="dxa"/>
        <w:tblLayout w:type="fixed"/>
        <w:tblLook w:val="04A0" w:firstRow="1" w:lastRow="0" w:firstColumn="1" w:lastColumn="0" w:noHBand="0" w:noVBand="1"/>
      </w:tblPr>
      <w:tblGrid>
        <w:gridCol w:w="9360"/>
      </w:tblGrid>
      <w:tr w:rsidR="009420D6" w14:paraId="7AECA558" w14:textId="77777777" w:rsidTr="007D7B9F">
        <w:trPr>
          <w:trHeight w:val="80"/>
        </w:trPr>
        <w:tc>
          <w:tcPr>
            <w:tcW w:w="9356" w:type="dxa"/>
            <w:hideMark/>
          </w:tcPr>
          <w:p w14:paraId="430D93D2" w14:textId="77777777" w:rsidR="007719DF" w:rsidRDefault="00F12ED5" w:rsidP="007D7B9F">
            <w:pPr>
              <w:pStyle w:val="H4"/>
              <w:spacing w:after="0"/>
              <w:outlineLvl w:val="9"/>
              <w:rPr>
                <w:b w:val="0"/>
                <w:sz w:val="24"/>
              </w:rPr>
            </w:pPr>
            <w:r>
              <w:rPr>
                <w:b w:val="0"/>
                <w:sz w:val="24"/>
              </w:rPr>
              <w:t>Jelgavā</w:t>
            </w:r>
          </w:p>
        </w:tc>
      </w:tr>
    </w:tbl>
    <w:p w14:paraId="63901ACD" w14:textId="77777777" w:rsidR="007719DF" w:rsidRDefault="007719DF" w:rsidP="007719DF">
      <w:pPr>
        <w:rPr>
          <w:sz w:val="24"/>
          <w:lang w:val="lv-LV"/>
        </w:rPr>
      </w:pPr>
    </w:p>
    <w:tbl>
      <w:tblPr>
        <w:tblW w:w="0" w:type="auto"/>
        <w:tblInd w:w="108" w:type="dxa"/>
        <w:tblLook w:val="04A0" w:firstRow="1" w:lastRow="0" w:firstColumn="1" w:lastColumn="0" w:noHBand="0" w:noVBand="1"/>
      </w:tblPr>
      <w:tblGrid>
        <w:gridCol w:w="936"/>
        <w:gridCol w:w="1680"/>
        <w:gridCol w:w="582"/>
        <w:gridCol w:w="3156"/>
      </w:tblGrid>
      <w:tr w:rsidR="009420D6" w14:paraId="150935AA" w14:textId="77777777" w:rsidTr="00F32A30">
        <w:tc>
          <w:tcPr>
            <w:tcW w:w="2616" w:type="dxa"/>
            <w:gridSpan w:val="2"/>
            <w:tcBorders>
              <w:top w:val="nil"/>
              <w:left w:val="nil"/>
              <w:bottom w:val="single" w:sz="4" w:space="0" w:color="auto"/>
              <w:right w:val="nil"/>
            </w:tcBorders>
            <w:vAlign w:val="bottom"/>
          </w:tcPr>
          <w:p w14:paraId="2A6111CD" w14:textId="77777777" w:rsidR="00283898" w:rsidRDefault="00F12ED5" w:rsidP="00F32A30">
            <w:pPr>
              <w:jc w:val="center"/>
              <w:rPr>
                <w:bCs/>
                <w:sz w:val="24"/>
                <w:lang w:val="lv-LV"/>
              </w:rPr>
            </w:pPr>
            <w:r>
              <w:rPr>
                <w:bCs/>
                <w:noProof/>
                <w:sz w:val="24"/>
                <w:lang w:val="lv-LV"/>
              </w:rPr>
              <w:t>24.05.2024</w:t>
            </w:r>
          </w:p>
        </w:tc>
        <w:tc>
          <w:tcPr>
            <w:tcW w:w="582" w:type="dxa"/>
            <w:vAlign w:val="bottom"/>
            <w:hideMark/>
          </w:tcPr>
          <w:p w14:paraId="68F4AB74" w14:textId="77777777" w:rsidR="00283898" w:rsidRDefault="00F12ED5" w:rsidP="00F32A30">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14:paraId="0D627402" w14:textId="77777777" w:rsidR="00283898" w:rsidRDefault="00F12ED5" w:rsidP="00F32A30">
            <w:pPr>
              <w:rPr>
                <w:bCs/>
                <w:sz w:val="24"/>
                <w:lang w:val="lv-LV"/>
              </w:rPr>
            </w:pPr>
            <w:r>
              <w:rPr>
                <w:bCs/>
                <w:noProof/>
                <w:sz w:val="24"/>
                <w:lang w:val="lv-LV"/>
              </w:rPr>
              <w:t>2.4.9.-1./277</w:t>
            </w:r>
          </w:p>
        </w:tc>
      </w:tr>
      <w:tr w:rsidR="009420D6" w14:paraId="7E9EBE39" w14:textId="77777777" w:rsidTr="00F32A30">
        <w:tc>
          <w:tcPr>
            <w:tcW w:w="6354" w:type="dxa"/>
            <w:gridSpan w:val="4"/>
            <w:vAlign w:val="bottom"/>
          </w:tcPr>
          <w:p w14:paraId="1D5C726F" w14:textId="77777777" w:rsidR="00283898" w:rsidRDefault="00283898" w:rsidP="00F32A30">
            <w:pPr>
              <w:jc w:val="center"/>
              <w:rPr>
                <w:bCs/>
                <w:sz w:val="16"/>
                <w:szCs w:val="16"/>
                <w:lang w:val="lv-LV"/>
              </w:rPr>
            </w:pPr>
          </w:p>
        </w:tc>
      </w:tr>
      <w:tr w:rsidR="009420D6" w14:paraId="286CFBF6" w14:textId="77777777" w:rsidTr="00F32A30">
        <w:tc>
          <w:tcPr>
            <w:tcW w:w="936" w:type="dxa"/>
            <w:vAlign w:val="bottom"/>
            <w:hideMark/>
          </w:tcPr>
          <w:p w14:paraId="2AF48FDD" w14:textId="77777777" w:rsidR="00283898" w:rsidRDefault="00F12ED5" w:rsidP="00F32A30">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14:paraId="033FCE35" w14:textId="77777777" w:rsidR="00283898" w:rsidRDefault="00F12ED5" w:rsidP="00F32A30">
            <w:pPr>
              <w:jc w:val="center"/>
              <w:rPr>
                <w:bCs/>
                <w:sz w:val="24"/>
                <w:lang w:val="lv-LV"/>
              </w:rPr>
            </w:pPr>
            <w:r>
              <w:rPr>
                <w:bCs/>
                <w:sz w:val="24"/>
                <w:lang w:val="lv-LV"/>
              </w:rPr>
              <w:t>14.05.2024.</w:t>
            </w:r>
          </w:p>
        </w:tc>
        <w:tc>
          <w:tcPr>
            <w:tcW w:w="582" w:type="dxa"/>
            <w:vAlign w:val="bottom"/>
            <w:hideMark/>
          </w:tcPr>
          <w:p w14:paraId="41D66E38" w14:textId="77777777" w:rsidR="00283898" w:rsidRDefault="00F12ED5" w:rsidP="00F32A30">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14:paraId="5A4F1F34" w14:textId="77777777" w:rsidR="00283898" w:rsidRDefault="00283898" w:rsidP="00F32A30">
            <w:pPr>
              <w:rPr>
                <w:bCs/>
                <w:sz w:val="24"/>
                <w:lang w:val="lv-LV"/>
              </w:rPr>
            </w:pPr>
          </w:p>
        </w:tc>
      </w:tr>
    </w:tbl>
    <w:p w14:paraId="780ADFAF" w14:textId="77777777" w:rsidR="00283898" w:rsidRDefault="00283898" w:rsidP="00283898">
      <w:pPr>
        <w:rPr>
          <w:sz w:val="24"/>
          <w:lang w:val="lv-LV"/>
        </w:rPr>
      </w:pPr>
    </w:p>
    <w:tbl>
      <w:tblPr>
        <w:tblW w:w="0" w:type="auto"/>
        <w:tblInd w:w="108" w:type="dxa"/>
        <w:tblLook w:val="04A0" w:firstRow="1" w:lastRow="0" w:firstColumn="1" w:lastColumn="0" w:noHBand="0" w:noVBand="1"/>
      </w:tblPr>
      <w:tblGrid>
        <w:gridCol w:w="1189"/>
        <w:gridCol w:w="3987"/>
        <w:gridCol w:w="4071"/>
      </w:tblGrid>
      <w:tr w:rsidR="009420D6" w14:paraId="0A96CBE9" w14:textId="77777777" w:rsidTr="00283898">
        <w:tc>
          <w:tcPr>
            <w:tcW w:w="1203" w:type="dxa"/>
            <w:vAlign w:val="bottom"/>
          </w:tcPr>
          <w:p w14:paraId="54343C2D" w14:textId="77777777" w:rsidR="00283898" w:rsidRDefault="00283898" w:rsidP="00F32A30">
            <w:pPr>
              <w:rPr>
                <w:sz w:val="24"/>
                <w:lang w:val="lv-LV"/>
              </w:rPr>
            </w:pPr>
          </w:p>
        </w:tc>
        <w:tc>
          <w:tcPr>
            <w:tcW w:w="4042" w:type="dxa"/>
            <w:vAlign w:val="bottom"/>
          </w:tcPr>
          <w:p w14:paraId="72F57112" w14:textId="77777777" w:rsidR="00283898" w:rsidRDefault="00283898" w:rsidP="00F32A30">
            <w:pPr>
              <w:rPr>
                <w:sz w:val="24"/>
                <w:lang w:val="lv-LV"/>
              </w:rPr>
            </w:pPr>
          </w:p>
        </w:tc>
        <w:tc>
          <w:tcPr>
            <w:tcW w:w="4111" w:type="dxa"/>
            <w:vAlign w:val="bottom"/>
            <w:hideMark/>
          </w:tcPr>
          <w:p w14:paraId="4CFFC0DD" w14:textId="77777777" w:rsidR="00283898" w:rsidRDefault="00F12ED5" w:rsidP="00EA36CC">
            <w:pPr>
              <w:jc w:val="right"/>
              <w:rPr>
                <w:sz w:val="24"/>
                <w:lang w:val="lv-LV"/>
              </w:rPr>
            </w:pPr>
            <w:r>
              <w:rPr>
                <w:b/>
                <w:noProof/>
                <w:sz w:val="24"/>
                <w:lang w:val="lv-LV"/>
              </w:rPr>
              <w:t>Sabiedrība ar ierobežotu atbildību "Firma L4"</w:t>
            </w:r>
          </w:p>
        </w:tc>
      </w:tr>
      <w:tr w:rsidR="009420D6" w14:paraId="53539A3D" w14:textId="77777777" w:rsidTr="00F32A30">
        <w:tc>
          <w:tcPr>
            <w:tcW w:w="5245" w:type="dxa"/>
            <w:gridSpan w:val="2"/>
            <w:vAlign w:val="bottom"/>
          </w:tcPr>
          <w:p w14:paraId="56195327" w14:textId="77777777" w:rsidR="00283898" w:rsidRDefault="00283898" w:rsidP="00F32A30">
            <w:pPr>
              <w:rPr>
                <w:sz w:val="24"/>
                <w:lang w:val="lv-LV"/>
              </w:rPr>
            </w:pPr>
          </w:p>
        </w:tc>
        <w:tc>
          <w:tcPr>
            <w:tcW w:w="4111" w:type="dxa"/>
            <w:vAlign w:val="bottom"/>
            <w:hideMark/>
          </w:tcPr>
          <w:p w14:paraId="2497F123" w14:textId="77777777" w:rsidR="00BE018A" w:rsidRDefault="00F12ED5" w:rsidP="00EA36CC">
            <w:pPr>
              <w:jc w:val="right"/>
              <w:rPr>
                <w:sz w:val="24"/>
                <w:szCs w:val="28"/>
                <w:lang w:val="lv-LV"/>
              </w:rPr>
            </w:pPr>
            <w:r>
              <w:rPr>
                <w:noProof/>
                <w:sz w:val="24"/>
                <w:lang w:val="lv-LV"/>
              </w:rPr>
              <w:t>E-adresē</w:t>
            </w:r>
          </w:p>
          <w:p w14:paraId="740A89C1" w14:textId="77777777" w:rsidR="00BE018A" w:rsidRPr="00D80372" w:rsidRDefault="00BE018A" w:rsidP="00EA36CC">
            <w:pPr>
              <w:jc w:val="right"/>
              <w:rPr>
                <w:sz w:val="24"/>
                <w:lang w:val="lv-LV"/>
              </w:rPr>
            </w:pPr>
          </w:p>
        </w:tc>
      </w:tr>
    </w:tbl>
    <w:p w14:paraId="4950EA01" w14:textId="77777777" w:rsidR="00283898" w:rsidRDefault="00283898" w:rsidP="00283898">
      <w:pPr>
        <w:tabs>
          <w:tab w:val="left" w:pos="3825"/>
        </w:tabs>
        <w:rPr>
          <w:sz w:val="24"/>
          <w:lang w:val="lv-LV"/>
        </w:rPr>
      </w:pPr>
    </w:p>
    <w:tbl>
      <w:tblPr>
        <w:tblW w:w="9360" w:type="dxa"/>
        <w:tblInd w:w="108" w:type="dxa"/>
        <w:tblLayout w:type="fixed"/>
        <w:tblLook w:val="04A0" w:firstRow="1" w:lastRow="0" w:firstColumn="1" w:lastColumn="0" w:noHBand="0" w:noVBand="1"/>
      </w:tblPr>
      <w:tblGrid>
        <w:gridCol w:w="9360"/>
      </w:tblGrid>
      <w:tr w:rsidR="009420D6" w14:paraId="4868DB61" w14:textId="77777777" w:rsidTr="00F32A30">
        <w:tc>
          <w:tcPr>
            <w:tcW w:w="9356" w:type="dxa"/>
            <w:hideMark/>
          </w:tcPr>
          <w:p w14:paraId="402E0C05" w14:textId="77777777" w:rsidR="00EA36CC" w:rsidRDefault="00F12ED5" w:rsidP="00F32A30">
            <w:pPr>
              <w:tabs>
                <w:tab w:val="left" w:pos="5415"/>
              </w:tabs>
              <w:rPr>
                <w:b/>
                <w:noProof/>
                <w:sz w:val="24"/>
                <w:lang w:val="lv-LV"/>
              </w:rPr>
            </w:pPr>
            <w:r>
              <w:rPr>
                <w:b/>
                <w:noProof/>
                <w:sz w:val="24"/>
                <w:lang w:val="lv-LV"/>
              </w:rPr>
              <w:t>Par ietekmes uz vidi novērtējum</w:t>
            </w:r>
            <w:r w:rsidR="00B50487">
              <w:rPr>
                <w:b/>
                <w:noProof/>
                <w:sz w:val="24"/>
                <w:lang w:val="lv-LV"/>
              </w:rPr>
              <w:t>a</w:t>
            </w:r>
            <w:r>
              <w:rPr>
                <w:b/>
                <w:noProof/>
                <w:sz w:val="24"/>
                <w:lang w:val="lv-LV"/>
              </w:rPr>
              <w:t xml:space="preserve"> </w:t>
            </w:r>
            <w:r w:rsidR="00B50487">
              <w:rPr>
                <w:b/>
                <w:noProof/>
                <w:sz w:val="24"/>
                <w:lang w:val="lv-LV"/>
              </w:rPr>
              <w:t>p</w:t>
            </w:r>
            <w:r>
              <w:rPr>
                <w:b/>
                <w:noProof/>
                <w:sz w:val="24"/>
                <w:lang w:val="lv-LV"/>
              </w:rPr>
              <w:t>aziņojuma</w:t>
            </w:r>
          </w:p>
          <w:p w14:paraId="418FE59F" w14:textId="77777777" w:rsidR="00283898" w:rsidRDefault="00F12ED5" w:rsidP="00F32A30">
            <w:pPr>
              <w:tabs>
                <w:tab w:val="left" w:pos="5415"/>
              </w:tabs>
              <w:rPr>
                <w:bCs/>
                <w:color w:val="000000"/>
                <w:sz w:val="24"/>
                <w:lang w:val="lv-LV"/>
              </w:rPr>
            </w:pPr>
            <w:r>
              <w:rPr>
                <w:b/>
                <w:noProof/>
                <w:sz w:val="24"/>
                <w:lang w:val="lv-LV"/>
              </w:rPr>
              <w:t>sākotnējo apspriešanu</w:t>
            </w:r>
            <w:r>
              <w:rPr>
                <w:b/>
                <w:sz w:val="24"/>
                <w:lang w:val="lv-LV"/>
              </w:rPr>
              <w:tab/>
            </w:r>
          </w:p>
        </w:tc>
      </w:tr>
    </w:tbl>
    <w:p w14:paraId="79B4F12D" w14:textId="77777777" w:rsidR="00EA36CC" w:rsidRPr="00EA36CC" w:rsidRDefault="00EA36CC" w:rsidP="00EA36CC">
      <w:pPr>
        <w:rPr>
          <w:sz w:val="24"/>
          <w:lang w:val="lv-LV"/>
        </w:rPr>
      </w:pPr>
    </w:p>
    <w:p w14:paraId="2D953C7E" w14:textId="77777777" w:rsidR="00EA36CC" w:rsidRPr="00EA36CC" w:rsidRDefault="00F12ED5" w:rsidP="00EA36CC">
      <w:pPr>
        <w:jc w:val="both"/>
        <w:rPr>
          <w:sz w:val="24"/>
          <w:lang w:val="lv-LV"/>
        </w:rPr>
      </w:pPr>
      <w:r w:rsidRPr="00EA36CC">
        <w:rPr>
          <w:sz w:val="24"/>
          <w:lang w:val="lv-LV"/>
        </w:rPr>
        <w:t xml:space="preserve">       Veselības inspekcija</w:t>
      </w:r>
      <w:r w:rsidR="00284D2A">
        <w:rPr>
          <w:sz w:val="24"/>
          <w:lang w:val="lv-LV"/>
        </w:rPr>
        <w:t xml:space="preserve"> </w:t>
      </w:r>
      <w:r w:rsidRPr="00EA36CC">
        <w:rPr>
          <w:sz w:val="24"/>
          <w:lang w:val="lv-LV"/>
        </w:rPr>
        <w:t>(turpmāk</w:t>
      </w:r>
      <w:r w:rsidR="00284D2A">
        <w:rPr>
          <w:sz w:val="24"/>
          <w:lang w:val="lv-LV"/>
        </w:rPr>
        <w:t xml:space="preserve"> – </w:t>
      </w:r>
      <w:r w:rsidRPr="00EA36CC">
        <w:rPr>
          <w:sz w:val="24"/>
          <w:lang w:val="lv-LV"/>
        </w:rPr>
        <w:t xml:space="preserve">Inspekcija) savas kompetences ietvaros izskatīja Jūsu 2024.gada  14.maija vēstuli, kur lūdzat sniegt viedokli par paredzēto darbību SIA “DSG Karjeri” derīgo izrakteņu (dolomīta) ieguvei atradnē “Iecava II” </w:t>
      </w:r>
      <w:proofErr w:type="spellStart"/>
      <w:r w:rsidRPr="00EA36CC">
        <w:rPr>
          <w:sz w:val="24"/>
          <w:lang w:val="lv-LV"/>
        </w:rPr>
        <w:t>Salgales</w:t>
      </w:r>
      <w:proofErr w:type="spellEnd"/>
      <w:r w:rsidRPr="00EA36CC">
        <w:rPr>
          <w:sz w:val="24"/>
          <w:lang w:val="lv-LV"/>
        </w:rPr>
        <w:t xml:space="preserve"> pagastā, Jelgavas novadā (turpmāk – Paredzētā darbība), kādas ietveramas ietekmes uz vidi novērtējuma (turpmāk - IVN) Programmā.      </w:t>
      </w:r>
    </w:p>
    <w:p w14:paraId="513E6C0A" w14:textId="77777777" w:rsidR="00EA36CC" w:rsidRPr="00EA36CC" w:rsidRDefault="00F12ED5" w:rsidP="00EA36CC">
      <w:pPr>
        <w:jc w:val="both"/>
        <w:rPr>
          <w:sz w:val="24"/>
          <w:lang w:val="lv-LV"/>
        </w:rPr>
      </w:pPr>
      <w:r w:rsidRPr="00EA36CC">
        <w:rPr>
          <w:sz w:val="24"/>
          <w:lang w:val="lv-LV"/>
        </w:rPr>
        <w:t xml:space="preserve">       Inspekcija konstatē, ka Paredzēt</w:t>
      </w:r>
      <w:r w:rsidR="00284D2A">
        <w:rPr>
          <w:sz w:val="24"/>
          <w:lang w:val="lv-LV"/>
        </w:rPr>
        <w:t>ās</w:t>
      </w:r>
      <w:r w:rsidRPr="00EA36CC">
        <w:rPr>
          <w:sz w:val="24"/>
          <w:lang w:val="lv-LV"/>
        </w:rPr>
        <w:t xml:space="preserve"> darbīb</w:t>
      </w:r>
      <w:r w:rsidR="00284D2A">
        <w:rPr>
          <w:sz w:val="24"/>
          <w:lang w:val="lv-LV"/>
        </w:rPr>
        <w:t>as</w:t>
      </w:r>
      <w:r w:rsidRPr="00EA36CC">
        <w:rPr>
          <w:sz w:val="24"/>
          <w:lang w:val="lv-LV"/>
        </w:rPr>
        <w:t xml:space="preserve"> iespējamo traucējošo ietekmi uz iedzīvotāju dzīves kvalitāti un cilvēku veselību jāvērtē attiecībā uz apdzīvotām vietām, t.sk.</w:t>
      </w:r>
      <w:r w:rsidR="00284D2A">
        <w:rPr>
          <w:sz w:val="24"/>
          <w:lang w:val="lv-LV"/>
        </w:rPr>
        <w:t>,</w:t>
      </w:r>
      <w:r w:rsidRPr="00EA36CC">
        <w:rPr>
          <w:sz w:val="24"/>
          <w:lang w:val="lv-LV"/>
        </w:rPr>
        <w:t xml:space="preserve"> viensētām, izvērtējot šādus ietekmju aspektus: </w:t>
      </w:r>
    </w:p>
    <w:p w14:paraId="62C3934C" w14:textId="77777777" w:rsidR="00EA36CC" w:rsidRPr="00EA36CC" w:rsidRDefault="00F12ED5" w:rsidP="00EA36CC">
      <w:pPr>
        <w:jc w:val="both"/>
        <w:rPr>
          <w:sz w:val="24"/>
          <w:lang w:val="lv-LV"/>
        </w:rPr>
      </w:pPr>
      <w:r w:rsidRPr="00EA36CC">
        <w:rPr>
          <w:sz w:val="24"/>
          <w:lang w:val="lv-LV"/>
        </w:rPr>
        <w:t>1) akustiskais troksnis;</w:t>
      </w:r>
    </w:p>
    <w:p w14:paraId="03F6B862" w14:textId="77777777" w:rsidR="00EA36CC" w:rsidRPr="00EA36CC" w:rsidRDefault="00F12ED5" w:rsidP="00EA36CC">
      <w:pPr>
        <w:jc w:val="both"/>
        <w:rPr>
          <w:sz w:val="24"/>
          <w:lang w:val="lv-LV"/>
        </w:rPr>
      </w:pPr>
      <w:r w:rsidRPr="00EA36CC">
        <w:rPr>
          <w:sz w:val="24"/>
          <w:lang w:val="lv-LV"/>
        </w:rPr>
        <w:t>2) gaisa piesārņojums, putekļu piesārņojum</w:t>
      </w:r>
      <w:r w:rsidR="00284D2A">
        <w:rPr>
          <w:sz w:val="24"/>
          <w:lang w:val="lv-LV"/>
        </w:rPr>
        <w:t>s;</w:t>
      </w:r>
    </w:p>
    <w:p w14:paraId="2B0C3F0D" w14:textId="77777777" w:rsidR="00EA36CC" w:rsidRPr="00EA36CC" w:rsidRDefault="00F12ED5" w:rsidP="00EA36CC">
      <w:pPr>
        <w:jc w:val="both"/>
        <w:rPr>
          <w:sz w:val="24"/>
          <w:lang w:val="lv-LV"/>
        </w:rPr>
      </w:pPr>
      <w:r w:rsidRPr="00EA36CC">
        <w:rPr>
          <w:sz w:val="24"/>
          <w:lang w:val="lv-LV"/>
        </w:rPr>
        <w:t>3) vibrācija.</w:t>
      </w:r>
    </w:p>
    <w:p w14:paraId="0FDB9916" w14:textId="77777777" w:rsidR="00EA36CC" w:rsidRPr="00EA36CC" w:rsidRDefault="00F12ED5" w:rsidP="00EA36CC">
      <w:pPr>
        <w:jc w:val="both"/>
        <w:rPr>
          <w:sz w:val="24"/>
          <w:lang w:val="lv-LV"/>
        </w:rPr>
      </w:pPr>
      <w:r w:rsidRPr="00EA36CC">
        <w:rPr>
          <w:sz w:val="24"/>
          <w:lang w:val="lv-LV"/>
        </w:rPr>
        <w:t xml:space="preserve">        Tuvākās viensētas ir: viensēta “Viesturi” ~ 320 m attālumā uz R, viensēta </w:t>
      </w:r>
      <w:proofErr w:type="spellStart"/>
      <w:r w:rsidRPr="00EA36CC">
        <w:rPr>
          <w:sz w:val="24"/>
          <w:lang w:val="lv-LV"/>
        </w:rPr>
        <w:t>Lejaskraukļi</w:t>
      </w:r>
      <w:proofErr w:type="spellEnd"/>
      <w:r w:rsidRPr="00EA36CC">
        <w:rPr>
          <w:sz w:val="24"/>
          <w:lang w:val="lv-LV"/>
        </w:rPr>
        <w:t>” ~ 700 m attālumā uz R, viensētas “</w:t>
      </w:r>
      <w:proofErr w:type="spellStart"/>
      <w:r w:rsidRPr="00EA36CC">
        <w:rPr>
          <w:sz w:val="24"/>
          <w:lang w:val="lv-LV"/>
        </w:rPr>
        <w:t>Kažas</w:t>
      </w:r>
      <w:proofErr w:type="spellEnd"/>
      <w:r w:rsidRPr="00EA36CC">
        <w:rPr>
          <w:sz w:val="24"/>
          <w:lang w:val="lv-LV"/>
        </w:rPr>
        <w:t xml:space="preserve">” un “Stirnu </w:t>
      </w:r>
      <w:proofErr w:type="spellStart"/>
      <w:r w:rsidRPr="00EA36CC">
        <w:rPr>
          <w:sz w:val="24"/>
          <w:lang w:val="lv-LV"/>
        </w:rPr>
        <w:t>Čukates</w:t>
      </w:r>
      <w:proofErr w:type="spellEnd"/>
      <w:r w:rsidRPr="00EA36CC">
        <w:rPr>
          <w:sz w:val="24"/>
          <w:lang w:val="lv-LV"/>
        </w:rPr>
        <w:t xml:space="preserve"> (</w:t>
      </w:r>
      <w:proofErr w:type="spellStart"/>
      <w:r w:rsidRPr="00EA36CC">
        <w:rPr>
          <w:sz w:val="24"/>
          <w:lang w:val="lv-LV"/>
        </w:rPr>
        <w:t>Koči</w:t>
      </w:r>
      <w:proofErr w:type="spellEnd"/>
      <w:r w:rsidRPr="00EA36CC">
        <w:rPr>
          <w:sz w:val="24"/>
          <w:lang w:val="lv-LV"/>
        </w:rPr>
        <w:t>)” ~ 1100 m attālumā uz DA, viensēta</w:t>
      </w:r>
      <w:r w:rsidR="00284D2A">
        <w:rPr>
          <w:sz w:val="24"/>
          <w:lang w:val="lv-LV"/>
        </w:rPr>
        <w:t>s</w:t>
      </w:r>
      <w:r w:rsidRPr="00EA36CC">
        <w:rPr>
          <w:sz w:val="24"/>
          <w:lang w:val="lv-LV"/>
        </w:rPr>
        <w:t xml:space="preserve"> “Spēlmaņi”, “</w:t>
      </w:r>
      <w:proofErr w:type="spellStart"/>
      <w:r w:rsidRPr="00EA36CC">
        <w:rPr>
          <w:sz w:val="24"/>
          <w:lang w:val="lv-LV"/>
        </w:rPr>
        <w:t>Stabukrogs</w:t>
      </w:r>
      <w:proofErr w:type="spellEnd"/>
      <w:r w:rsidRPr="00EA36CC">
        <w:rPr>
          <w:sz w:val="24"/>
          <w:lang w:val="lv-LV"/>
        </w:rPr>
        <w:t>”, “Stabi, “Leitīši”, “Lejas Kaspari”, “Kaspari” ~ 1100 m attālumā uz D, viensēta “</w:t>
      </w:r>
      <w:proofErr w:type="spellStart"/>
      <w:r w:rsidRPr="00EA36CC">
        <w:rPr>
          <w:sz w:val="24"/>
          <w:lang w:val="lv-LV"/>
        </w:rPr>
        <w:t>Oļas</w:t>
      </w:r>
      <w:proofErr w:type="spellEnd"/>
      <w:r w:rsidRPr="00EA36CC">
        <w:rPr>
          <w:sz w:val="24"/>
          <w:lang w:val="lv-LV"/>
        </w:rPr>
        <w:t xml:space="preserve">” ~ 1100 m attālumā uz DR no </w:t>
      </w:r>
      <w:r w:rsidR="00284D2A">
        <w:rPr>
          <w:sz w:val="24"/>
          <w:lang w:val="lv-LV"/>
        </w:rPr>
        <w:t>Paredzētās d</w:t>
      </w:r>
      <w:r w:rsidRPr="00EA36CC">
        <w:rPr>
          <w:sz w:val="24"/>
          <w:lang w:val="lv-LV"/>
        </w:rPr>
        <w:t xml:space="preserve">arbības vietas. </w:t>
      </w:r>
    </w:p>
    <w:p w14:paraId="768C9FC7" w14:textId="77777777" w:rsidR="00EA36CC" w:rsidRPr="00EA36CC" w:rsidRDefault="00F12ED5" w:rsidP="00EA36CC">
      <w:pPr>
        <w:jc w:val="both"/>
        <w:rPr>
          <w:sz w:val="24"/>
          <w:lang w:val="lv-LV"/>
        </w:rPr>
      </w:pPr>
      <w:r w:rsidRPr="00EA36CC">
        <w:rPr>
          <w:sz w:val="24"/>
          <w:lang w:val="lv-LV"/>
        </w:rPr>
        <w:t xml:space="preserve">        Paredzēt</w:t>
      </w:r>
      <w:r w:rsidR="00B50487">
        <w:rPr>
          <w:sz w:val="24"/>
          <w:lang w:val="lv-LV"/>
        </w:rPr>
        <w:t>ā</w:t>
      </w:r>
      <w:r w:rsidRPr="00EA36CC">
        <w:rPr>
          <w:sz w:val="24"/>
          <w:lang w:val="lv-LV"/>
        </w:rPr>
        <w:t xml:space="preserve"> darbība nav pretrunā ar Ozolnieku novada teritorijas plānojumu 2020 (turpmāk - Teritorijas plānojums)</w:t>
      </w:r>
      <w:r w:rsidR="00B50487">
        <w:rPr>
          <w:sz w:val="24"/>
          <w:lang w:val="lv-LV"/>
        </w:rPr>
        <w:t>.</w:t>
      </w:r>
      <w:r w:rsidRPr="00EA36CC">
        <w:rPr>
          <w:sz w:val="24"/>
          <w:lang w:val="lv-LV"/>
        </w:rPr>
        <w:t xml:space="preserve"> Atradnes teritorija atrodas funkcionālajās zonās Mežu teritorija (M) un Lauksaimniecības teritorija (L). Atbilstoši Teritorijas plānojuma Teritorijas izmantošanas un apbūves noteikumiem derīgo izrakteņu ieguve Jelgavas novadā šajās teritorijās ir atļauta kā </w:t>
      </w:r>
      <w:proofErr w:type="spellStart"/>
      <w:r w:rsidRPr="00EA36CC">
        <w:rPr>
          <w:sz w:val="24"/>
          <w:lang w:val="lv-LV"/>
        </w:rPr>
        <w:t>papildizmantošana</w:t>
      </w:r>
      <w:proofErr w:type="spellEnd"/>
      <w:r w:rsidRPr="00EA36CC">
        <w:rPr>
          <w:sz w:val="24"/>
          <w:lang w:val="lv-LV"/>
        </w:rPr>
        <w:t xml:space="preserve">. Paredzētās darbības prognozējamajā ietekmes teritorijā nav citu nozīmīgu rūpniecības vai vides riska objektu un </w:t>
      </w:r>
      <w:r w:rsidR="00B50487">
        <w:rPr>
          <w:sz w:val="24"/>
          <w:lang w:val="lv-LV"/>
        </w:rPr>
        <w:t xml:space="preserve">tā </w:t>
      </w:r>
      <w:r w:rsidRPr="00EA36CC">
        <w:rPr>
          <w:sz w:val="24"/>
          <w:lang w:val="lv-LV"/>
        </w:rPr>
        <w:t xml:space="preserve">nerobežojas ar apdzīvotām īpaši aizsargājamām teritorijām. Atradnes “Iecava II” tuvumā tiek veikta derīgo izrakteņu ieguve atradnē “Iecava”, ko veic SIA “DSG Karjeri” un VAS “Latvijas autoceļu uzturētājs”. Plānots, ka līdz atradnes “Iecava II” atvēršanai SIA “DSG Karjeri” būs pabeigusi ieguves darbus atradnē “Iecava.” </w:t>
      </w:r>
    </w:p>
    <w:p w14:paraId="0BDA9DBE" w14:textId="77777777" w:rsidR="00EA36CC" w:rsidRPr="00EA36CC" w:rsidRDefault="00F12ED5" w:rsidP="00EA36CC">
      <w:pPr>
        <w:jc w:val="both"/>
        <w:rPr>
          <w:sz w:val="24"/>
          <w:lang w:val="lv-LV"/>
        </w:rPr>
      </w:pPr>
      <w:r w:rsidRPr="00EA36CC">
        <w:rPr>
          <w:sz w:val="24"/>
          <w:lang w:val="lv-LV"/>
        </w:rPr>
        <w:t xml:space="preserve">      IVN procedūras laikā atbilstoši normatīvo aktu un IVN Programmas prasībām paredzēts veikt nepieciešam</w:t>
      </w:r>
      <w:r w:rsidR="00B50487">
        <w:rPr>
          <w:sz w:val="24"/>
          <w:lang w:val="lv-LV"/>
        </w:rPr>
        <w:t>os</w:t>
      </w:r>
      <w:r w:rsidRPr="00EA36CC">
        <w:rPr>
          <w:sz w:val="24"/>
          <w:lang w:val="lv-LV"/>
        </w:rPr>
        <w:t xml:space="preserve"> pētījumus un aprēķinus, kā arī izstrādāt nepieciešam</w:t>
      </w:r>
      <w:r w:rsidR="00B50487">
        <w:rPr>
          <w:sz w:val="24"/>
          <w:lang w:val="lv-LV"/>
        </w:rPr>
        <w:t>o</w:t>
      </w:r>
      <w:r w:rsidRPr="00EA36CC">
        <w:rPr>
          <w:sz w:val="24"/>
          <w:lang w:val="lv-LV"/>
        </w:rPr>
        <w:t xml:space="preserve">s pasākumus konstatēto ietekmju mazināšanai vai novēršanai: </w:t>
      </w:r>
    </w:p>
    <w:p w14:paraId="5CE22CA8" w14:textId="77777777" w:rsidR="00EA36CC" w:rsidRPr="00EA36CC" w:rsidRDefault="00F12ED5" w:rsidP="00EA36CC">
      <w:pPr>
        <w:jc w:val="both"/>
        <w:rPr>
          <w:sz w:val="24"/>
          <w:lang w:val="lv-LV"/>
        </w:rPr>
      </w:pPr>
      <w:r w:rsidRPr="00EA36CC">
        <w:rPr>
          <w:sz w:val="24"/>
          <w:lang w:val="lv-LV"/>
        </w:rPr>
        <w:t xml:space="preserve"> - IVN procesā tiks veikti trokšņa emisiju aprēķini un izkliedes modelēšana. Ņemot vērā fona trokšņa līmeni, tai skaitā</w:t>
      </w:r>
      <w:r w:rsidR="00B50487">
        <w:rPr>
          <w:sz w:val="24"/>
          <w:lang w:val="lv-LV"/>
        </w:rPr>
        <w:t>,</w:t>
      </w:r>
      <w:r w:rsidRPr="00EA36CC">
        <w:rPr>
          <w:sz w:val="24"/>
          <w:lang w:val="lv-LV"/>
        </w:rPr>
        <w:t xml:space="preserve"> autoceļu un esošās derīgo izrakteņu ieguves vietas. Ņemot vērā aprēķinu un modelēšanas rezultātus, tiks izstrādāti pasākum</w:t>
      </w:r>
      <w:r w:rsidR="00B50487">
        <w:rPr>
          <w:sz w:val="24"/>
          <w:lang w:val="lv-LV"/>
        </w:rPr>
        <w:t>i</w:t>
      </w:r>
      <w:r w:rsidRPr="00EA36CC">
        <w:rPr>
          <w:sz w:val="24"/>
          <w:lang w:val="lv-LV"/>
        </w:rPr>
        <w:t xml:space="preserve"> trokšņa emisiju mazināšanai;</w:t>
      </w:r>
    </w:p>
    <w:p w14:paraId="6BD8106E" w14:textId="77777777" w:rsidR="00EA36CC" w:rsidRPr="00EA36CC" w:rsidRDefault="00F12ED5" w:rsidP="00EA36CC">
      <w:pPr>
        <w:jc w:val="both"/>
        <w:rPr>
          <w:sz w:val="24"/>
          <w:lang w:val="lv-LV"/>
        </w:rPr>
      </w:pPr>
      <w:r w:rsidRPr="00EA36CC">
        <w:rPr>
          <w:sz w:val="24"/>
          <w:lang w:val="lv-LV"/>
        </w:rPr>
        <w:t xml:space="preserve"> - Lai maksimāli samazinātu vibrāciju ietekmi uz apkārtējām mājām</w:t>
      </w:r>
      <w:r w:rsidR="00B50487">
        <w:rPr>
          <w:sz w:val="24"/>
          <w:lang w:val="lv-LV"/>
        </w:rPr>
        <w:t>,</w:t>
      </w:r>
      <w:r w:rsidRPr="00EA36CC">
        <w:rPr>
          <w:sz w:val="24"/>
          <w:lang w:val="lv-LV"/>
        </w:rPr>
        <w:t xml:space="preserve"> spridzināšanas tiks veikta</w:t>
      </w:r>
      <w:r w:rsidR="00B50487">
        <w:rPr>
          <w:sz w:val="24"/>
          <w:lang w:val="lv-LV"/>
        </w:rPr>
        <w:t>s</w:t>
      </w:r>
      <w:r w:rsidRPr="00EA36CC">
        <w:rPr>
          <w:sz w:val="24"/>
          <w:lang w:val="lv-LV"/>
        </w:rPr>
        <w:t xml:space="preserve"> pielietojot īslaicīgi palēninātās ierosmes spridzināšanas shēm</w:t>
      </w:r>
      <w:r w:rsidR="00B50487">
        <w:rPr>
          <w:sz w:val="24"/>
          <w:lang w:val="lv-LV"/>
        </w:rPr>
        <w:t>u</w:t>
      </w:r>
      <w:r w:rsidRPr="00EA36CC">
        <w:rPr>
          <w:sz w:val="24"/>
          <w:lang w:val="lv-LV"/>
        </w:rPr>
        <w:t xml:space="preserve">, kas būtiski samazina trokšņu </w:t>
      </w:r>
      <w:r w:rsidRPr="00EA36CC">
        <w:rPr>
          <w:sz w:val="24"/>
          <w:lang w:val="lv-LV"/>
        </w:rPr>
        <w:lastRenderedPageBreak/>
        <w:t>traucējumus un vibrācijas, jo sprādzieni urbumos notiek nevis vienlaicīgi, bet ar laika nobīdi, pakāpeniski. Uzņēmums, kurš veic spridzināšanas darbus SIA “DSG Karjeri” atradnēs</w:t>
      </w:r>
      <w:r w:rsidR="00B50487">
        <w:rPr>
          <w:sz w:val="24"/>
          <w:lang w:val="lv-LV"/>
        </w:rPr>
        <w:t>,</w:t>
      </w:r>
      <w:r w:rsidRPr="00EA36CC">
        <w:rPr>
          <w:sz w:val="24"/>
          <w:lang w:val="lv-LV"/>
        </w:rPr>
        <w:t xml:space="preserve"> veic arī vibrāciju mērījumus ar seismogrāfu. Mērījumi pārsvarā tiek veikti pieguļošajos īpašumos un viensētu teritorijās;</w:t>
      </w:r>
    </w:p>
    <w:p w14:paraId="5AFB3F46" w14:textId="77777777" w:rsidR="00EA36CC" w:rsidRPr="00EA36CC" w:rsidRDefault="00F12ED5" w:rsidP="00EA36CC">
      <w:pPr>
        <w:jc w:val="both"/>
        <w:rPr>
          <w:sz w:val="24"/>
          <w:lang w:val="lv-LV"/>
        </w:rPr>
      </w:pPr>
      <w:r w:rsidRPr="00EA36CC">
        <w:rPr>
          <w:sz w:val="24"/>
          <w:lang w:val="lv-LV"/>
        </w:rPr>
        <w:t>- Iespējams palielināts putekļu un izmešu daudzums gaisā, bet nav prognozējams, ka tas pārsniegs esošo piesārņojumu</w:t>
      </w:r>
      <w:r w:rsidR="00B50487">
        <w:rPr>
          <w:sz w:val="24"/>
          <w:lang w:val="lv-LV"/>
        </w:rPr>
        <w:t>,</w:t>
      </w:r>
      <w:r w:rsidRPr="00EA36CC">
        <w:rPr>
          <w:sz w:val="24"/>
          <w:lang w:val="lv-LV"/>
        </w:rPr>
        <w:t xml:space="preserve"> veicot darbību atradnē “Iecava</w:t>
      </w:r>
      <w:r w:rsidR="00FF5D73">
        <w:rPr>
          <w:sz w:val="24"/>
          <w:lang w:val="lv-LV"/>
        </w:rPr>
        <w:t xml:space="preserve"> II</w:t>
      </w:r>
      <w:r w:rsidRPr="00EA36CC">
        <w:rPr>
          <w:sz w:val="24"/>
          <w:lang w:val="lv-LV"/>
        </w:rPr>
        <w:t>”. Prognozējamais gaisa piesārņojums tiks noteikts veicot emisiju aprēķinus ar matemātiskās modelēšanas metodi tiks novērtēta emisiju izkliede</w:t>
      </w:r>
      <w:r w:rsidR="00B50487">
        <w:rPr>
          <w:sz w:val="24"/>
          <w:lang w:val="lv-LV"/>
        </w:rPr>
        <w:t>,</w:t>
      </w:r>
      <w:r w:rsidRPr="00EA36CC">
        <w:rPr>
          <w:sz w:val="24"/>
          <w:lang w:val="lv-LV"/>
        </w:rPr>
        <w:t xml:space="preserve"> ņemot vērā esošo (fona) piesārņojuma līmeni un ņemot vērā </w:t>
      </w:r>
      <w:r w:rsidR="00B50487">
        <w:rPr>
          <w:sz w:val="24"/>
          <w:lang w:val="lv-LV"/>
        </w:rPr>
        <w:t>P</w:t>
      </w:r>
      <w:r w:rsidRPr="00EA36CC">
        <w:rPr>
          <w:sz w:val="24"/>
          <w:lang w:val="lv-LV"/>
        </w:rPr>
        <w:t>aredzētās darbības radīto emisiju aprēķinu, nosakot summāro gaisa kvalitāti un tās atbilstību normatīvajos aktos noteiktajām robežvērtībām.</w:t>
      </w:r>
      <w:r w:rsidRPr="00EA36CC">
        <w:rPr>
          <w:sz w:val="24"/>
          <w:lang w:val="lv-LV"/>
        </w:rPr>
        <w:tab/>
      </w:r>
    </w:p>
    <w:p w14:paraId="73B74F3F" w14:textId="77777777" w:rsidR="00EA36CC" w:rsidRPr="00EA36CC" w:rsidRDefault="00F12ED5" w:rsidP="00EA36CC">
      <w:pPr>
        <w:jc w:val="both"/>
        <w:rPr>
          <w:sz w:val="24"/>
          <w:lang w:val="lv-LV"/>
        </w:rPr>
      </w:pPr>
      <w:r w:rsidRPr="00EA36CC">
        <w:rPr>
          <w:sz w:val="24"/>
          <w:lang w:val="lv-LV"/>
        </w:rPr>
        <w:t xml:space="preserve">         Kopumā tiek plānots veikt dažādus inženiertehniskus un organizatoriskus pasākumus derīgā materiāla ieguves, pārstrādes un transportēšanas procesu ietekmes uz vidi un cilvēku dzīves kvalitāti samazināšanai. Inspekcija rekomendē prognozēt ietekmi uz pazemes ūdens resursiem atradnes tuvumā esošajās viensētās un pazemes ūdensobjektu ūdens kvalitāti.</w:t>
      </w:r>
    </w:p>
    <w:p w14:paraId="5A681687" w14:textId="77777777" w:rsidR="00EA36CC" w:rsidRPr="00EA36CC" w:rsidRDefault="00F12ED5" w:rsidP="00EA36CC">
      <w:pPr>
        <w:jc w:val="both"/>
        <w:rPr>
          <w:sz w:val="24"/>
          <w:lang w:val="lv-LV"/>
        </w:rPr>
      </w:pPr>
      <w:r w:rsidRPr="00EA36CC">
        <w:rPr>
          <w:sz w:val="24"/>
          <w:lang w:val="lv-LV"/>
        </w:rPr>
        <w:t xml:space="preserve">        Pamatojoties uz augstāk minēto, Veselības inspekcija neiebilst izstrādātās IVN  Programmas risinājumiem.</w:t>
      </w:r>
    </w:p>
    <w:p w14:paraId="66350F95" w14:textId="77777777" w:rsidR="00EA36CC" w:rsidRPr="00EA36CC" w:rsidRDefault="00EA36CC" w:rsidP="00EA36CC">
      <w:pPr>
        <w:jc w:val="both"/>
        <w:rPr>
          <w:sz w:val="24"/>
          <w:lang w:val="lv-LV"/>
        </w:rPr>
      </w:pPr>
    </w:p>
    <w:p w14:paraId="1CA3BF77" w14:textId="77777777" w:rsidR="00EA36CC" w:rsidRPr="00EA36CC" w:rsidRDefault="00EA36CC" w:rsidP="00EA36CC">
      <w:pPr>
        <w:jc w:val="both"/>
        <w:rPr>
          <w:sz w:val="24"/>
          <w:lang w:val="lv-LV"/>
        </w:rPr>
      </w:pPr>
    </w:p>
    <w:p w14:paraId="50F50721" w14:textId="77777777" w:rsidR="00EA36CC" w:rsidRPr="00EA36CC" w:rsidRDefault="00F12ED5" w:rsidP="00EA36CC">
      <w:pPr>
        <w:jc w:val="both"/>
        <w:rPr>
          <w:sz w:val="24"/>
          <w:lang w:val="lv-LV"/>
        </w:rPr>
      </w:pPr>
      <w:r w:rsidRPr="00EA36CC">
        <w:rPr>
          <w:sz w:val="24"/>
          <w:lang w:val="lv-LV"/>
        </w:rPr>
        <w:t>Sabiedrības veselības departamenta</w:t>
      </w:r>
      <w:r w:rsidRPr="00EA36CC">
        <w:rPr>
          <w:sz w:val="24"/>
          <w:lang w:val="lv-LV"/>
        </w:rPr>
        <w:tab/>
      </w:r>
    </w:p>
    <w:p w14:paraId="631F6117" w14:textId="77777777" w:rsidR="00EA36CC" w:rsidRPr="00EA36CC" w:rsidRDefault="00F12ED5" w:rsidP="00EA36CC">
      <w:pPr>
        <w:jc w:val="both"/>
        <w:rPr>
          <w:sz w:val="24"/>
          <w:lang w:val="lv-LV"/>
        </w:rPr>
      </w:pPr>
      <w:r w:rsidRPr="00EA36CC">
        <w:rPr>
          <w:sz w:val="24"/>
          <w:lang w:val="lv-LV"/>
        </w:rPr>
        <w:t>Zemgales kontroles nodaļas vadītāja                                                                           Airisa Lapiņa</w:t>
      </w:r>
    </w:p>
    <w:p w14:paraId="45DCA2F8" w14:textId="77777777" w:rsidR="00EA36CC" w:rsidRPr="00EA36CC" w:rsidRDefault="00EA36CC" w:rsidP="00EA36CC">
      <w:pPr>
        <w:jc w:val="both"/>
        <w:rPr>
          <w:sz w:val="24"/>
          <w:lang w:val="lv-LV"/>
        </w:rPr>
      </w:pPr>
    </w:p>
    <w:p w14:paraId="3C64E859" w14:textId="77777777" w:rsidR="00EA36CC" w:rsidRDefault="00EA36CC" w:rsidP="00EA36CC">
      <w:pPr>
        <w:jc w:val="both"/>
        <w:rPr>
          <w:sz w:val="24"/>
          <w:lang w:val="lv-LV"/>
        </w:rPr>
      </w:pPr>
    </w:p>
    <w:p w14:paraId="06327986" w14:textId="77777777" w:rsidR="00B50487" w:rsidRDefault="00B50487" w:rsidP="00EA36CC">
      <w:pPr>
        <w:jc w:val="both"/>
        <w:rPr>
          <w:sz w:val="24"/>
          <w:lang w:val="lv-LV"/>
        </w:rPr>
      </w:pPr>
    </w:p>
    <w:p w14:paraId="596CBF54" w14:textId="77777777" w:rsidR="00B50487" w:rsidRDefault="00B50487" w:rsidP="00EA36CC">
      <w:pPr>
        <w:jc w:val="both"/>
        <w:rPr>
          <w:sz w:val="24"/>
          <w:lang w:val="lv-LV"/>
        </w:rPr>
      </w:pPr>
    </w:p>
    <w:p w14:paraId="3BF4D574" w14:textId="77777777" w:rsidR="00B50487" w:rsidRDefault="00B50487" w:rsidP="00EA36CC">
      <w:pPr>
        <w:jc w:val="both"/>
        <w:rPr>
          <w:sz w:val="24"/>
          <w:lang w:val="lv-LV"/>
        </w:rPr>
      </w:pPr>
    </w:p>
    <w:p w14:paraId="3AAD981C" w14:textId="77777777" w:rsidR="00B50487" w:rsidRPr="00EA36CC" w:rsidRDefault="00B50487" w:rsidP="00EA36CC">
      <w:pPr>
        <w:jc w:val="both"/>
        <w:rPr>
          <w:sz w:val="24"/>
          <w:lang w:val="lv-LV"/>
        </w:rPr>
      </w:pPr>
    </w:p>
    <w:p w14:paraId="30B14343" w14:textId="77777777" w:rsidR="00EA36CC" w:rsidRPr="00EA36CC" w:rsidRDefault="00F12ED5" w:rsidP="00EA36CC">
      <w:pPr>
        <w:jc w:val="both"/>
        <w:rPr>
          <w:sz w:val="24"/>
          <w:lang w:val="lv-LV"/>
        </w:rPr>
      </w:pPr>
      <w:r w:rsidRPr="00EA36CC">
        <w:rPr>
          <w:sz w:val="24"/>
          <w:lang w:val="lv-LV"/>
        </w:rPr>
        <w:t xml:space="preserve">Tatjana </w:t>
      </w:r>
      <w:proofErr w:type="spellStart"/>
      <w:r w:rsidRPr="00EA36CC">
        <w:rPr>
          <w:sz w:val="24"/>
          <w:lang w:val="lv-LV"/>
        </w:rPr>
        <w:t>Losicka</w:t>
      </w:r>
      <w:proofErr w:type="spellEnd"/>
      <w:r w:rsidRPr="00EA36CC">
        <w:rPr>
          <w:sz w:val="24"/>
          <w:lang w:val="lv-LV"/>
        </w:rPr>
        <w:t>, 63083193</w:t>
      </w:r>
    </w:p>
    <w:p w14:paraId="1B6E3A0F" w14:textId="77777777" w:rsidR="00CC2D45" w:rsidRPr="007719DF" w:rsidRDefault="00F12ED5" w:rsidP="00EA36CC">
      <w:pPr>
        <w:jc w:val="both"/>
        <w:rPr>
          <w:sz w:val="24"/>
          <w:lang w:val="lv-LV"/>
        </w:rPr>
      </w:pPr>
      <w:hyperlink r:id="rId8" w:history="1">
        <w:r w:rsidRPr="00E84757">
          <w:rPr>
            <w:rStyle w:val="Hyperlink"/>
            <w:sz w:val="24"/>
            <w:lang w:val="lv-LV"/>
          </w:rPr>
          <w:t>tatjana.losicka@vi.gov.lv</w:t>
        </w:r>
      </w:hyperlink>
      <w:r>
        <w:rPr>
          <w:sz w:val="24"/>
          <w:lang w:val="lv-LV"/>
        </w:rPr>
        <w:t xml:space="preserve"> </w:t>
      </w:r>
    </w:p>
    <w:sectPr w:rsidR="00CC2D45" w:rsidRPr="007719DF" w:rsidSect="00C14EF0">
      <w:headerReference w:type="even" r:id="rId9"/>
      <w:headerReference w:type="default" r:id="rId10"/>
      <w:footerReference w:type="default" r:id="rId11"/>
      <w:headerReference w:type="first" r:id="rId12"/>
      <w:footerReference w:type="first" r:id="rId13"/>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38DD4" w14:textId="77777777" w:rsidR="00F12ED5" w:rsidRDefault="00F12ED5">
      <w:r>
        <w:separator/>
      </w:r>
    </w:p>
  </w:endnote>
  <w:endnote w:type="continuationSeparator" w:id="0">
    <w:p w14:paraId="78A5DB32" w14:textId="77777777" w:rsidR="00F12ED5" w:rsidRDefault="00F12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Arial"/>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CE88D" w14:textId="77777777" w:rsidR="00E815D4" w:rsidRPr="00E815D4" w:rsidRDefault="00F12ED5" w:rsidP="00E815D4">
    <w:pPr>
      <w:pStyle w:val="Elektronikaisparaksts"/>
      <w:rPr>
        <w:sz w:val="19"/>
        <w:szCs w:val="19"/>
      </w:rPr>
    </w:pPr>
    <w:r w:rsidRPr="00E815D4">
      <w:rPr>
        <w:sz w:val="19"/>
        <w:szCs w:val="19"/>
      </w:rPr>
      <w:t>DOKUMENTS PARAKSTĪTS AR DROŠU ELEKTRONISKO PARAKSTU, KAS SATUR LAIKA ZĪMOGU</w:t>
    </w:r>
  </w:p>
  <w:p w14:paraId="68623772" w14:textId="77777777" w:rsidR="0017043C" w:rsidRDefault="0017043C" w:rsidP="00BC3824">
    <w:pPr>
      <w:pStyle w:val="Footer"/>
      <w:rPr>
        <w:bCs/>
        <w:sz w:val="20"/>
        <w:lang w:val="de-DE"/>
      </w:rPr>
    </w:pPr>
  </w:p>
  <w:p w14:paraId="1AF60288" w14:textId="77777777" w:rsidR="00264178" w:rsidRPr="00BC3824" w:rsidRDefault="00F12ED5" w:rsidP="00BC3824">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27299" w14:textId="77777777" w:rsidR="00E815D4" w:rsidRPr="00E815D4" w:rsidRDefault="00F12ED5" w:rsidP="00E815D4">
    <w:pPr>
      <w:pStyle w:val="Elektronikaisparaksts"/>
      <w:rPr>
        <w:sz w:val="19"/>
        <w:szCs w:val="19"/>
      </w:rPr>
    </w:pPr>
    <w:r w:rsidRPr="00E815D4">
      <w:rPr>
        <w:sz w:val="19"/>
        <w:szCs w:val="19"/>
      </w:rPr>
      <w:t>DOKUMENTS PARAKSTĪTS AR DROŠU ELEKTRONISKO PARAKSTU, KAS SATUR LAIKA ZĪMOGU</w:t>
    </w:r>
  </w:p>
  <w:p w14:paraId="766328CD" w14:textId="77777777" w:rsidR="00E815D4" w:rsidRPr="00E815D4" w:rsidRDefault="00E815D4" w:rsidP="00E815D4">
    <w:pPr>
      <w:pStyle w:val="Elektronikaisparaksts"/>
      <w:rPr>
        <w:sz w:val="19"/>
        <w:szCs w:val="19"/>
      </w:rPr>
    </w:pPr>
  </w:p>
  <w:p w14:paraId="55213CC7" w14:textId="77777777" w:rsidR="00A56CC6" w:rsidRPr="00BC3824" w:rsidRDefault="00F12ED5" w:rsidP="00BC3824">
    <w:pPr>
      <w:pStyle w:val="Footer"/>
      <w:rPr>
        <w:bCs/>
        <w:sz w:val="20"/>
        <w:lang w:val="de-DE"/>
      </w:rPr>
    </w:pPr>
    <w:r>
      <w:rPr>
        <w:bCs/>
        <w:sz w:val="20"/>
        <w:lang w:val="de-DE"/>
      </w:rPr>
      <w:t>F001</w:t>
    </w:r>
    <w:r w:rsidR="00BC3824">
      <w:rPr>
        <w:bCs/>
        <w:sz w:val="20"/>
        <w:lang w:val="de-DE"/>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3C5A1" w14:textId="77777777" w:rsidR="00F12ED5" w:rsidRDefault="00F12ED5">
      <w:r>
        <w:separator/>
      </w:r>
    </w:p>
  </w:footnote>
  <w:footnote w:type="continuationSeparator" w:id="0">
    <w:p w14:paraId="487B4275" w14:textId="77777777" w:rsidR="00F12ED5" w:rsidRDefault="00F12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35D89" w14:textId="77777777" w:rsidR="00021E92" w:rsidRDefault="00F12E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7AD812B4" w14:textId="77777777" w:rsidR="00021E92" w:rsidRDefault="00021E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3A50" w14:textId="77777777" w:rsidR="00021E92" w:rsidRDefault="00F12ED5">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14:paraId="702EDFD5" w14:textId="77777777" w:rsidR="00021E92" w:rsidRDefault="00021E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87B7C" w14:textId="77777777" w:rsidR="00200854" w:rsidRPr="00733E60" w:rsidRDefault="00F12ED5" w:rsidP="00200854">
    <w:pPr>
      <w:pStyle w:val="Header"/>
      <w:pBdr>
        <w:bottom w:val="single" w:sz="4" w:space="1" w:color="auto"/>
      </w:pBdr>
      <w:jc w:val="center"/>
      <w:rPr>
        <w:sz w:val="20"/>
        <w:szCs w:val="20"/>
      </w:rPr>
    </w:pPr>
    <w:r w:rsidRPr="00733E60">
      <w:rPr>
        <w:noProof/>
        <w:sz w:val="20"/>
        <w:szCs w:val="20"/>
      </w:rPr>
      <w:drawing>
        <wp:inline distT="0" distB="0" distL="0" distR="0" wp14:anchorId="27B7C67A" wp14:editId="504607C4">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r:embed="rId1">
                    <a:extLst>
                      <a:ext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14:paraId="482618A4" w14:textId="77777777" w:rsidR="00200854" w:rsidRPr="00733E60" w:rsidRDefault="00F12ED5" w:rsidP="00200854">
    <w:pPr>
      <w:pStyle w:val="Header"/>
      <w:pBdr>
        <w:bottom w:val="single" w:sz="4" w:space="1" w:color="auto"/>
      </w:pBdr>
      <w:jc w:val="center"/>
      <w:rPr>
        <w:sz w:val="20"/>
        <w:szCs w:val="20"/>
      </w:rPr>
    </w:pPr>
    <w:r w:rsidRPr="00733E60">
      <w:rPr>
        <w:noProof/>
        <w:sz w:val="20"/>
        <w:szCs w:val="20"/>
      </w:rPr>
      <w:drawing>
        <wp:inline distT="0" distB="0" distL="0" distR="0" wp14:anchorId="29A4D50D" wp14:editId="338E2E5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r:embed="rId1">
                    <a:extLst>
                      <a:ext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14:paraId="788C2830" w14:textId="77777777" w:rsidR="00200854" w:rsidRDefault="00F12ED5" w:rsidP="00200854">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14:paraId="33EEA6C2" w14:textId="77777777" w:rsidR="00CF2A47" w:rsidRDefault="00F12ED5" w:rsidP="00200854">
    <w:pPr>
      <w:jc w:val="center"/>
      <w:rPr>
        <w:bCs/>
        <w:sz w:val="20"/>
        <w:szCs w:val="20"/>
        <w:lang w:val="lv-LV"/>
      </w:rPr>
    </w:pPr>
    <w:r>
      <w:rPr>
        <w:bCs/>
        <w:sz w:val="20"/>
        <w:lang w:val="lv-LV"/>
      </w:rPr>
      <w:t xml:space="preserve">tālrunis: 63083193, e-pasts: </w:t>
    </w:r>
    <w:hyperlink r:id="rId2" w:history="1">
      <w:r w:rsidR="00E74425" w:rsidRPr="00920CBD">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00E74425" w:rsidRPr="00920CBD">
        <w:rPr>
          <w:rStyle w:val="Hyperlink"/>
          <w:bCs/>
          <w:sz w:val="20"/>
          <w:szCs w:val="20"/>
          <w:lang w:val="lv-LV"/>
        </w:rPr>
        <w:t>www.vi.gov.lv</w:t>
      </w:r>
    </w:hyperlink>
    <w:r w:rsidR="00E74425">
      <w:rPr>
        <w:bCs/>
        <w:sz w:val="20"/>
        <w:szCs w:val="20"/>
        <w:lang w:val="lv-LV"/>
      </w:rPr>
      <w:t xml:space="preserve"> </w:t>
    </w:r>
  </w:p>
  <w:p w14:paraId="65803AEA" w14:textId="77777777" w:rsidR="00200854" w:rsidRPr="00200854" w:rsidRDefault="00200854" w:rsidP="00200854">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6A60949"/>
    <w:multiLevelType w:val="hybridMultilevel"/>
    <w:tmpl w:val="37528E66"/>
    <w:lvl w:ilvl="0" w:tplc="C79C5658">
      <w:start w:val="1"/>
      <w:numFmt w:val="decimal"/>
      <w:lvlText w:val="%1."/>
      <w:lvlJc w:val="left"/>
      <w:pPr>
        <w:ind w:left="720" w:hanging="360"/>
      </w:pPr>
      <w:rPr>
        <w:rFonts w:hint="default"/>
      </w:rPr>
    </w:lvl>
    <w:lvl w:ilvl="1" w:tplc="0198A1E2" w:tentative="1">
      <w:start w:val="1"/>
      <w:numFmt w:val="lowerLetter"/>
      <w:lvlText w:val="%2."/>
      <w:lvlJc w:val="left"/>
      <w:pPr>
        <w:ind w:left="1440" w:hanging="360"/>
      </w:pPr>
    </w:lvl>
    <w:lvl w:ilvl="2" w:tplc="C9D2FDF6" w:tentative="1">
      <w:start w:val="1"/>
      <w:numFmt w:val="lowerRoman"/>
      <w:lvlText w:val="%3."/>
      <w:lvlJc w:val="right"/>
      <w:pPr>
        <w:ind w:left="2160" w:hanging="180"/>
      </w:pPr>
    </w:lvl>
    <w:lvl w:ilvl="3" w:tplc="4E544A96" w:tentative="1">
      <w:start w:val="1"/>
      <w:numFmt w:val="decimal"/>
      <w:lvlText w:val="%4."/>
      <w:lvlJc w:val="left"/>
      <w:pPr>
        <w:ind w:left="2880" w:hanging="360"/>
      </w:pPr>
    </w:lvl>
    <w:lvl w:ilvl="4" w:tplc="F1560944" w:tentative="1">
      <w:start w:val="1"/>
      <w:numFmt w:val="lowerLetter"/>
      <w:lvlText w:val="%5."/>
      <w:lvlJc w:val="left"/>
      <w:pPr>
        <w:ind w:left="3600" w:hanging="360"/>
      </w:pPr>
    </w:lvl>
    <w:lvl w:ilvl="5" w:tplc="EE56F420" w:tentative="1">
      <w:start w:val="1"/>
      <w:numFmt w:val="lowerRoman"/>
      <w:lvlText w:val="%6."/>
      <w:lvlJc w:val="right"/>
      <w:pPr>
        <w:ind w:left="4320" w:hanging="180"/>
      </w:pPr>
    </w:lvl>
    <w:lvl w:ilvl="6" w:tplc="F3F0DED4" w:tentative="1">
      <w:start w:val="1"/>
      <w:numFmt w:val="decimal"/>
      <w:lvlText w:val="%7."/>
      <w:lvlJc w:val="left"/>
      <w:pPr>
        <w:ind w:left="5040" w:hanging="360"/>
      </w:pPr>
    </w:lvl>
    <w:lvl w:ilvl="7" w:tplc="031CA670" w:tentative="1">
      <w:start w:val="1"/>
      <w:numFmt w:val="lowerLetter"/>
      <w:lvlText w:val="%8."/>
      <w:lvlJc w:val="left"/>
      <w:pPr>
        <w:ind w:left="5760" w:hanging="360"/>
      </w:pPr>
    </w:lvl>
    <w:lvl w:ilvl="8" w:tplc="C5722802" w:tentative="1">
      <w:start w:val="1"/>
      <w:numFmt w:val="lowerRoman"/>
      <w:lvlText w:val="%9."/>
      <w:lvlJc w:val="right"/>
      <w:pPr>
        <w:ind w:left="6480" w:hanging="180"/>
      </w:pPr>
    </w:lvl>
  </w:abstractNum>
  <w:abstractNum w:abstractNumId="4"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6" w15:restartNumberingAfterBreak="0">
    <w:nsid w:val="6DD429DA"/>
    <w:multiLevelType w:val="hybridMultilevel"/>
    <w:tmpl w:val="B53A0A1A"/>
    <w:lvl w:ilvl="0" w:tplc="0330AEFA">
      <w:start w:val="1"/>
      <w:numFmt w:val="decimal"/>
      <w:lvlText w:val="%1."/>
      <w:lvlJc w:val="left"/>
      <w:pPr>
        <w:ind w:left="720" w:hanging="360"/>
      </w:pPr>
    </w:lvl>
    <w:lvl w:ilvl="1" w:tplc="1C10D3EA" w:tentative="1">
      <w:start w:val="1"/>
      <w:numFmt w:val="lowerLetter"/>
      <w:lvlText w:val="%2."/>
      <w:lvlJc w:val="left"/>
      <w:pPr>
        <w:ind w:left="1440" w:hanging="360"/>
      </w:pPr>
    </w:lvl>
    <w:lvl w:ilvl="2" w:tplc="412E16F6" w:tentative="1">
      <w:start w:val="1"/>
      <w:numFmt w:val="lowerRoman"/>
      <w:lvlText w:val="%3."/>
      <w:lvlJc w:val="right"/>
      <w:pPr>
        <w:ind w:left="2160" w:hanging="180"/>
      </w:pPr>
    </w:lvl>
    <w:lvl w:ilvl="3" w:tplc="484283EC" w:tentative="1">
      <w:start w:val="1"/>
      <w:numFmt w:val="decimal"/>
      <w:lvlText w:val="%4."/>
      <w:lvlJc w:val="left"/>
      <w:pPr>
        <w:ind w:left="2880" w:hanging="360"/>
      </w:pPr>
    </w:lvl>
    <w:lvl w:ilvl="4" w:tplc="88EC4364" w:tentative="1">
      <w:start w:val="1"/>
      <w:numFmt w:val="lowerLetter"/>
      <w:lvlText w:val="%5."/>
      <w:lvlJc w:val="left"/>
      <w:pPr>
        <w:ind w:left="3600" w:hanging="360"/>
      </w:pPr>
    </w:lvl>
    <w:lvl w:ilvl="5" w:tplc="DD2A276C" w:tentative="1">
      <w:start w:val="1"/>
      <w:numFmt w:val="lowerRoman"/>
      <w:lvlText w:val="%6."/>
      <w:lvlJc w:val="right"/>
      <w:pPr>
        <w:ind w:left="4320" w:hanging="180"/>
      </w:pPr>
    </w:lvl>
    <w:lvl w:ilvl="6" w:tplc="A7780F78" w:tentative="1">
      <w:start w:val="1"/>
      <w:numFmt w:val="decimal"/>
      <w:lvlText w:val="%7."/>
      <w:lvlJc w:val="left"/>
      <w:pPr>
        <w:ind w:left="5040" w:hanging="360"/>
      </w:pPr>
    </w:lvl>
    <w:lvl w:ilvl="7" w:tplc="BB983770" w:tentative="1">
      <w:start w:val="1"/>
      <w:numFmt w:val="lowerLetter"/>
      <w:lvlText w:val="%8."/>
      <w:lvlJc w:val="left"/>
      <w:pPr>
        <w:ind w:left="5760" w:hanging="360"/>
      </w:pPr>
    </w:lvl>
    <w:lvl w:ilvl="8" w:tplc="0F546A72" w:tentative="1">
      <w:start w:val="1"/>
      <w:numFmt w:val="lowerRoman"/>
      <w:lvlText w:val="%9."/>
      <w:lvlJc w:val="right"/>
      <w:pPr>
        <w:ind w:left="6480" w:hanging="180"/>
      </w:pPr>
    </w:lvl>
  </w:abstractNum>
  <w:abstractNum w:abstractNumId="7"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8"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4D2A"/>
    <w:rsid w:val="00285D97"/>
    <w:rsid w:val="002955F9"/>
    <w:rsid w:val="002D19C7"/>
    <w:rsid w:val="002E5766"/>
    <w:rsid w:val="002F6B39"/>
    <w:rsid w:val="003059B5"/>
    <w:rsid w:val="00307206"/>
    <w:rsid w:val="003664F1"/>
    <w:rsid w:val="003A3172"/>
    <w:rsid w:val="003B10E1"/>
    <w:rsid w:val="003B256A"/>
    <w:rsid w:val="003B46EF"/>
    <w:rsid w:val="003C156A"/>
    <w:rsid w:val="003F1ED0"/>
    <w:rsid w:val="00442933"/>
    <w:rsid w:val="004535B2"/>
    <w:rsid w:val="004610E8"/>
    <w:rsid w:val="0047717D"/>
    <w:rsid w:val="004B1FAC"/>
    <w:rsid w:val="004D167B"/>
    <w:rsid w:val="004D2651"/>
    <w:rsid w:val="004F09BE"/>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63FA5"/>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00B28"/>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20D6"/>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02A5"/>
    <w:rsid w:val="00A93E38"/>
    <w:rsid w:val="00AE06D7"/>
    <w:rsid w:val="00AE13D7"/>
    <w:rsid w:val="00AE26EA"/>
    <w:rsid w:val="00B177E3"/>
    <w:rsid w:val="00B50487"/>
    <w:rsid w:val="00B53CFB"/>
    <w:rsid w:val="00B555A4"/>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E84757"/>
    <w:rsid w:val="00EA36CC"/>
    <w:rsid w:val="00F11610"/>
    <w:rsid w:val="00F12ED5"/>
    <w:rsid w:val="00F307E9"/>
    <w:rsid w:val="00F32A30"/>
    <w:rsid w:val="00F46B0A"/>
    <w:rsid w:val="00F65293"/>
    <w:rsid w:val="00F84350"/>
    <w:rsid w:val="00F854E8"/>
    <w:rsid w:val="00F94EDF"/>
    <w:rsid w:val="00FA705D"/>
    <w:rsid w:val="00FB20C5"/>
    <w:rsid w:val="00FB5A3A"/>
    <w:rsid w:val="00FD0729"/>
    <w:rsid w:val="00FE187B"/>
    <w:rsid w:val="00FF5D73"/>
    <w:rsid w:val="00FF6F8F"/>
    <w:rsid w:val="00FF71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9C5D7"/>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tjana.losicka@vi.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zemgal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2749</Words>
  <Characters>1568</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Inga Gavena</cp:lastModifiedBy>
  <cp:revision>2</cp:revision>
  <cp:lastPrinted>2014-11-21T09:07:00Z</cp:lastPrinted>
  <dcterms:created xsi:type="dcterms:W3CDTF">2025-08-03T11:30:00Z</dcterms:created>
  <dcterms:modified xsi:type="dcterms:W3CDTF">2025-08-03T11:30:00Z</dcterms:modified>
</cp:coreProperties>
</file>